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val="0"/>
        <w:autoSpaceDN w:val="0"/>
        <w:bidi w:val="0"/>
        <w:adjustRightInd/>
        <w:snapToGrid/>
        <w:spacing w:line="600" w:lineRule="exact"/>
        <w:ind w:right="299"/>
        <w:jc w:val="center"/>
        <w:textAlignment w:val="auto"/>
      </w:pPr>
      <w:r>
        <w:t>固安县关于居住</w:t>
      </w:r>
      <w:r>
        <w:rPr>
          <w:rFonts w:hint="eastAsia"/>
          <w:lang w:val="en-US" w:eastAsia="zh-CN"/>
        </w:rPr>
        <w:t>用地变更</w:t>
      </w:r>
      <w:r>
        <w:rPr>
          <w:rFonts w:hint="eastAsia"/>
        </w:rPr>
        <w:t>兼容</w:t>
      </w:r>
      <w:r>
        <w:t>商业服务设施</w:t>
      </w:r>
      <w:r>
        <w:rPr>
          <w:rFonts w:hint="eastAsia"/>
        </w:rPr>
        <w:t>用地</w:t>
      </w:r>
      <w:r>
        <w:rPr>
          <w:rFonts w:hint="eastAsia"/>
          <w:lang w:val="en-US" w:eastAsia="zh-CN"/>
        </w:rPr>
        <w:t>用途的管理规定</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firstLine="600" w:firstLineChars="200"/>
        <w:jc w:val="both"/>
        <w:textAlignment w:val="auto"/>
        <w:rPr>
          <w:rFonts w:ascii="方正小标宋简体"/>
          <w:sz w:val="30"/>
        </w:rPr>
      </w:pP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271" w:firstLine="640" w:firstLineChars="200"/>
        <w:jc w:val="center"/>
        <w:textAlignment w:val="auto"/>
        <w:rPr>
          <w:rFonts w:hint="eastAsia" w:ascii="黑体" w:hAnsi="黑体" w:eastAsia="黑体" w:cs="黑体"/>
          <w:lang w:val="en-US"/>
        </w:rPr>
      </w:pPr>
      <w:r>
        <w:rPr>
          <w:rFonts w:hint="eastAsia" w:ascii="黑体" w:hAnsi="黑体" w:eastAsia="黑体" w:cs="黑体"/>
        </w:rPr>
        <w:t>第一章</w:t>
      </w:r>
      <w:r>
        <w:rPr>
          <w:rFonts w:hint="eastAsia" w:ascii="黑体" w:hAnsi="黑体" w:eastAsia="黑体" w:cs="黑体"/>
          <w:lang w:val="en-US"/>
        </w:rPr>
        <w:t xml:space="preserve">  总则</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271" w:firstLine="640" w:firstLineChars="200"/>
        <w:jc w:val="center"/>
        <w:textAlignment w:val="auto"/>
        <w:rPr>
          <w:rFonts w:hint="default" w:ascii="黑体" w:hAnsi="黑体" w:eastAsia="黑体" w:cs="黑体"/>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271" w:firstLine="643" w:firstLineChars="200"/>
        <w:jc w:val="both"/>
        <w:textAlignment w:val="auto"/>
      </w:pPr>
      <w:r>
        <w:rPr>
          <w:rFonts w:hint="eastAsia"/>
          <w:b/>
          <w:bCs/>
        </w:rPr>
        <w:t>第一条</w:t>
      </w:r>
      <w:r>
        <w:rPr>
          <w:rFonts w:hint="eastAsia"/>
          <w:lang w:val="en-US"/>
        </w:rPr>
        <w:t xml:space="preserve">  </w:t>
      </w:r>
      <w:r>
        <w:rPr>
          <w:rFonts w:hint="eastAsia"/>
          <w:lang w:val="en-US" w:eastAsia="zh-CN"/>
        </w:rPr>
        <w:t>为解决我县居住用地中配建的商业服务设施无法办证等历史遗留问题，为维护社会稳定，保障广大回迁户及购房户合法权益。</w:t>
      </w:r>
      <w:r>
        <w:t>根据《中华人民共和国</w:t>
      </w:r>
      <w:r>
        <w:rPr>
          <w:rFonts w:hint="eastAsia"/>
          <w:lang w:val="en-US" w:eastAsia="zh-CN"/>
        </w:rPr>
        <w:t>民法典</w:t>
      </w:r>
      <w:r>
        <w:t>》《中华人民共和国土地管理法》《中华人民共和国城乡规划法》《中华人民共和国城市房地产管理法》《城市房地产开发经营管理条例 》《城市居住区规划设计标准（GB50180-2018）》《商品房销售管理办法（建设部令第88号）》《国有建设用地使用权出让地价评估技术规范（国土资厅发〔2018〕4号）》</w:t>
      </w:r>
      <w:r>
        <w:rPr>
          <w:rFonts w:hint="eastAsia"/>
          <w:highlight w:val="none"/>
        </w:rPr>
        <w:t>《土地利用现状分类》（</w:t>
      </w:r>
      <w:r>
        <w:rPr>
          <w:rFonts w:hint="eastAsia"/>
          <w:highlight w:val="none"/>
          <w:lang w:val="en-US"/>
        </w:rPr>
        <w:t>GB/T 21010-2017</w:t>
      </w:r>
      <w:r>
        <w:rPr>
          <w:rFonts w:hint="eastAsia"/>
          <w:highlight w:val="none"/>
        </w:rPr>
        <w:t>）</w:t>
      </w:r>
      <w:r>
        <w:rPr>
          <w:highlight w:val="none"/>
        </w:rPr>
        <w:t>等有关法律法规，制</w:t>
      </w:r>
      <w:r>
        <w:t>定本办法。</w:t>
      </w:r>
    </w:p>
    <w:p>
      <w:pPr>
        <w:pStyle w:val="4"/>
        <w:keepNext w:val="0"/>
        <w:keepLines w:val="0"/>
        <w:pageBreakBefore w:val="0"/>
        <w:widowControl w:val="0"/>
        <w:kinsoku/>
        <w:wordWrap/>
        <w:overflowPunct/>
        <w:topLinePunct w:val="0"/>
        <w:autoSpaceDE w:val="0"/>
        <w:autoSpaceDN w:val="0"/>
        <w:bidi w:val="0"/>
        <w:adjustRightInd/>
        <w:snapToGrid/>
        <w:spacing w:line="600" w:lineRule="exact"/>
        <w:ind w:right="114" w:firstLine="643" w:firstLineChars="200"/>
        <w:jc w:val="both"/>
        <w:textAlignment w:val="auto"/>
      </w:pPr>
      <w:r>
        <w:rPr>
          <w:rFonts w:hint="eastAsia"/>
          <w:b/>
          <w:bCs/>
        </w:rPr>
        <w:t>第二条</w:t>
      </w:r>
      <w:r>
        <w:rPr>
          <w:rFonts w:hint="eastAsia"/>
          <w:lang w:val="en-US"/>
        </w:rPr>
        <w:t xml:space="preserve">  </w:t>
      </w:r>
      <w:r>
        <w:t>居住配套商业设施的规划建设使用应首先实现其商业功能并能够满足规划服务范围要求，保证与居住区同步规划、同步建设、同步交付。在保证其使用性质、功能性不变的前提下，统筹兼顾市场流通性，通过合理监管、转让制度，形成良性循环，优化商业营商环境，满足居住区居民商业需求，实现区域商业发展。</w:t>
      </w:r>
    </w:p>
    <w:p>
      <w:pPr>
        <w:pStyle w:val="4"/>
        <w:keepNext w:val="0"/>
        <w:keepLines w:val="0"/>
        <w:pageBreakBefore w:val="0"/>
        <w:widowControl w:val="0"/>
        <w:kinsoku/>
        <w:wordWrap/>
        <w:overflowPunct/>
        <w:topLinePunct w:val="0"/>
        <w:autoSpaceDE w:val="0"/>
        <w:autoSpaceDN w:val="0"/>
        <w:bidi w:val="0"/>
        <w:adjustRightInd/>
        <w:snapToGrid/>
        <w:spacing w:line="600" w:lineRule="exact"/>
        <w:ind w:right="114" w:firstLine="640" w:firstLineChars="200"/>
        <w:jc w:val="both"/>
        <w:textAlignment w:val="auto"/>
      </w:pPr>
    </w:p>
    <w:p>
      <w:pPr>
        <w:pStyle w:val="4"/>
        <w:keepNext w:val="0"/>
        <w:keepLines w:val="0"/>
        <w:pageBreakBefore w:val="0"/>
        <w:widowControl w:val="0"/>
        <w:kinsoku/>
        <w:wordWrap/>
        <w:overflowPunct/>
        <w:topLinePunct w:val="0"/>
        <w:autoSpaceDE w:val="0"/>
        <w:autoSpaceDN w:val="0"/>
        <w:bidi w:val="0"/>
        <w:adjustRightInd/>
        <w:snapToGrid/>
        <w:spacing w:line="600" w:lineRule="exact"/>
        <w:ind w:right="114" w:firstLine="640" w:firstLineChars="200"/>
        <w:jc w:val="both"/>
        <w:textAlignment w:val="auto"/>
      </w:pPr>
    </w:p>
    <w:p>
      <w:pPr>
        <w:pStyle w:val="4"/>
        <w:keepNext w:val="0"/>
        <w:keepLines w:val="0"/>
        <w:pageBreakBefore w:val="0"/>
        <w:widowControl w:val="0"/>
        <w:kinsoku/>
        <w:wordWrap/>
        <w:overflowPunct/>
        <w:topLinePunct w:val="0"/>
        <w:autoSpaceDE w:val="0"/>
        <w:autoSpaceDN w:val="0"/>
        <w:bidi w:val="0"/>
        <w:adjustRightInd/>
        <w:snapToGrid/>
        <w:spacing w:line="600" w:lineRule="exact"/>
        <w:ind w:right="114" w:firstLine="640" w:firstLineChars="200"/>
        <w:jc w:val="center"/>
        <w:textAlignment w:val="auto"/>
        <w:rPr>
          <w:rFonts w:hint="eastAsia" w:ascii="黑体" w:eastAsia="黑体"/>
          <w:lang w:val="en-US"/>
        </w:rPr>
      </w:pPr>
      <w:r>
        <w:rPr>
          <w:rFonts w:hint="eastAsia" w:ascii="黑体" w:eastAsia="黑体"/>
          <w:lang w:val="en-US" w:eastAsia="zh-CN"/>
        </w:rPr>
        <w:t>第</w:t>
      </w:r>
      <w:r>
        <w:rPr>
          <w:rFonts w:hint="eastAsia" w:ascii="黑体" w:eastAsia="黑体"/>
        </w:rPr>
        <w:t>二章</w:t>
      </w:r>
      <w:r>
        <w:rPr>
          <w:rFonts w:hint="eastAsia" w:ascii="黑体" w:eastAsia="黑体"/>
          <w:lang w:val="en-US"/>
        </w:rPr>
        <w:t xml:space="preserve">  适用范围</w:t>
      </w:r>
    </w:p>
    <w:p>
      <w:pPr>
        <w:pStyle w:val="4"/>
        <w:keepNext w:val="0"/>
        <w:keepLines w:val="0"/>
        <w:pageBreakBefore w:val="0"/>
        <w:widowControl w:val="0"/>
        <w:kinsoku/>
        <w:wordWrap/>
        <w:overflowPunct/>
        <w:topLinePunct w:val="0"/>
        <w:autoSpaceDE w:val="0"/>
        <w:autoSpaceDN w:val="0"/>
        <w:bidi w:val="0"/>
        <w:adjustRightInd/>
        <w:snapToGrid/>
        <w:spacing w:line="600" w:lineRule="exact"/>
        <w:ind w:right="114" w:firstLine="640" w:firstLineChars="200"/>
        <w:jc w:val="center"/>
        <w:textAlignment w:val="auto"/>
        <w:rPr>
          <w:rFonts w:hint="eastAsia" w:ascii="黑体" w:eastAsia="黑体"/>
          <w:lang w:val="en-US"/>
        </w:rPr>
      </w:pPr>
    </w:p>
    <w:p>
      <w:pPr>
        <w:pStyle w:val="4"/>
        <w:keepNext w:val="0"/>
        <w:keepLines w:val="0"/>
        <w:pageBreakBefore w:val="0"/>
        <w:widowControl w:val="0"/>
        <w:kinsoku/>
        <w:wordWrap/>
        <w:overflowPunct/>
        <w:topLinePunct w:val="0"/>
        <w:autoSpaceDE w:val="0"/>
        <w:autoSpaceDN w:val="0"/>
        <w:bidi w:val="0"/>
        <w:adjustRightInd/>
        <w:snapToGrid/>
        <w:spacing w:line="600" w:lineRule="exact"/>
        <w:ind w:right="114" w:firstLine="643" w:firstLineChars="200"/>
        <w:jc w:val="both"/>
        <w:textAlignment w:val="auto"/>
        <w:rPr>
          <w:rFonts w:hint="eastAsia"/>
          <w:lang w:val="en-US" w:eastAsia="zh-CN"/>
        </w:rPr>
      </w:pPr>
      <w:r>
        <w:rPr>
          <w:rFonts w:hint="eastAsia"/>
          <w:b/>
          <w:bCs/>
          <w:lang w:val="en-US"/>
        </w:rPr>
        <w:t>第</w:t>
      </w:r>
      <w:r>
        <w:rPr>
          <w:rFonts w:hint="eastAsia"/>
          <w:b/>
          <w:bCs/>
          <w:lang w:val="en-US" w:eastAsia="zh-CN"/>
        </w:rPr>
        <w:t>三</w:t>
      </w:r>
      <w:r>
        <w:rPr>
          <w:rFonts w:hint="eastAsia"/>
          <w:b/>
          <w:bCs/>
          <w:lang w:val="en-US"/>
        </w:rPr>
        <w:t>条</w:t>
      </w:r>
      <w:r>
        <w:rPr>
          <w:rFonts w:hint="eastAsia" w:ascii="黑体" w:eastAsia="黑体"/>
          <w:lang w:val="en-US"/>
        </w:rPr>
        <w:t xml:space="preserve">  </w:t>
      </w:r>
      <w:r>
        <w:t>本办法</w:t>
      </w:r>
      <w:r>
        <w:rPr>
          <w:rFonts w:hint="eastAsia"/>
          <w:lang w:val="en-US" w:eastAsia="zh-CN"/>
        </w:rPr>
        <w:t>适用于已取得土地使用权证中用途为</w:t>
      </w:r>
      <w:r>
        <w:t>居住用地</w:t>
      </w:r>
      <w:r>
        <w:rPr>
          <w:rFonts w:hint="eastAsia"/>
          <w:lang w:val="en-US" w:eastAsia="zh-CN"/>
        </w:rPr>
        <w:t>的宗地，并经规委会批准的规划设计条件方案中进行了商业服务设计，为配合土地落宗和不动产确权需要，将该商业服务设施占用居住用地变更为</w:t>
      </w:r>
      <w:r>
        <w:t>兼容商业服务设施用地</w:t>
      </w:r>
      <w:r>
        <w:rPr>
          <w:rFonts w:hint="eastAsia"/>
          <w:lang w:eastAsia="zh-CN"/>
        </w:rPr>
        <w:t>，</w:t>
      </w:r>
      <w:r>
        <w:rPr>
          <w:rFonts w:hint="eastAsia"/>
          <w:lang w:val="en-US" w:eastAsia="zh-CN"/>
        </w:rPr>
        <w:t>但规委会批准的规划设计方案中规划配建的配套商业除外。</w:t>
      </w:r>
    </w:p>
    <w:p>
      <w:pPr>
        <w:pStyle w:val="4"/>
        <w:keepNext w:val="0"/>
        <w:keepLines w:val="0"/>
        <w:pageBreakBefore w:val="0"/>
        <w:widowControl w:val="0"/>
        <w:kinsoku/>
        <w:wordWrap/>
        <w:overflowPunct/>
        <w:topLinePunct w:val="0"/>
        <w:autoSpaceDE w:val="0"/>
        <w:autoSpaceDN w:val="0"/>
        <w:bidi w:val="0"/>
        <w:adjustRightInd/>
        <w:snapToGrid/>
        <w:spacing w:line="600" w:lineRule="exact"/>
        <w:ind w:right="114" w:firstLine="643" w:firstLineChars="200"/>
        <w:jc w:val="both"/>
        <w:textAlignment w:val="auto"/>
        <w:rPr>
          <w:rFonts w:hint="eastAsia"/>
          <w:lang w:val="en-US" w:eastAsia="zh-CN"/>
        </w:rPr>
      </w:pPr>
      <w:r>
        <w:rPr>
          <w:rFonts w:hint="eastAsia"/>
          <w:b/>
          <w:bCs/>
          <w:lang w:val="en-US" w:eastAsia="zh-CN"/>
        </w:rPr>
        <w:t xml:space="preserve">第四条 </w:t>
      </w:r>
      <w:r>
        <w:rPr>
          <w:rFonts w:hint="eastAsia"/>
          <w:lang w:val="en-US" w:eastAsia="zh-CN"/>
        </w:rPr>
        <w:t xml:space="preserve"> 建设单位未经批准违反规划许可建设的商业服务设施，依法责令整改，履行行政处罚程序。</w:t>
      </w:r>
    </w:p>
    <w:p>
      <w:pPr>
        <w:pStyle w:val="4"/>
        <w:keepNext w:val="0"/>
        <w:keepLines w:val="0"/>
        <w:pageBreakBefore w:val="0"/>
        <w:widowControl w:val="0"/>
        <w:kinsoku/>
        <w:wordWrap/>
        <w:overflowPunct/>
        <w:topLinePunct w:val="0"/>
        <w:autoSpaceDE w:val="0"/>
        <w:autoSpaceDN w:val="0"/>
        <w:bidi w:val="0"/>
        <w:adjustRightInd/>
        <w:snapToGrid/>
        <w:spacing w:line="600" w:lineRule="exact"/>
        <w:ind w:right="114" w:firstLine="640" w:firstLineChars="200"/>
        <w:jc w:val="both"/>
        <w:textAlignment w:val="auto"/>
        <w:rPr>
          <w:rFonts w:hint="default"/>
          <w:lang w:val="en-US" w:eastAsia="zh-CN"/>
        </w:rPr>
      </w:pPr>
    </w:p>
    <w:p>
      <w:pPr>
        <w:pStyle w:val="3"/>
        <w:keepNext w:val="0"/>
        <w:keepLines w:val="0"/>
        <w:pageBreakBefore w:val="0"/>
        <w:widowControl w:val="0"/>
        <w:numPr>
          <w:ilvl w:val="0"/>
          <w:numId w:val="1"/>
        </w:numPr>
        <w:kinsoku/>
        <w:wordWrap/>
        <w:overflowPunct/>
        <w:topLinePunct w:val="0"/>
        <w:autoSpaceDE w:val="0"/>
        <w:autoSpaceDN w:val="0"/>
        <w:bidi w:val="0"/>
        <w:adjustRightInd/>
        <w:snapToGrid/>
        <w:spacing w:before="0" w:line="600" w:lineRule="exact"/>
        <w:ind w:firstLine="2560" w:firstLineChars="800"/>
        <w:jc w:val="both"/>
        <w:textAlignment w:val="auto"/>
        <w:rPr>
          <w:rFonts w:hint="eastAsia" w:ascii="黑体" w:hAnsi="仿宋_GB2312" w:eastAsia="黑体" w:cs="仿宋_GB2312"/>
          <w:b w:val="0"/>
          <w:bCs w:val="0"/>
          <w:sz w:val="32"/>
          <w:szCs w:val="32"/>
          <w:lang w:val="en-US" w:eastAsia="zh-CN" w:bidi="zh-CN"/>
        </w:rPr>
      </w:pPr>
      <w:bookmarkStart w:id="0" w:name="_GoBack"/>
      <w:bookmarkEnd w:id="0"/>
      <w:r>
        <w:rPr>
          <w:rFonts w:hint="eastAsia" w:ascii="黑体" w:hAnsi="仿宋_GB2312" w:eastAsia="黑体" w:cs="仿宋_GB2312"/>
          <w:b w:val="0"/>
          <w:bCs w:val="0"/>
          <w:sz w:val="32"/>
          <w:szCs w:val="32"/>
          <w:lang w:val="en-US" w:eastAsia="zh-CN" w:bidi="zh-CN"/>
        </w:rPr>
        <w:t>   政策规定</w:t>
      </w:r>
    </w:p>
    <w:p>
      <w:pPr>
        <w:numPr>
          <w:ilvl w:val="0"/>
          <w:numId w:val="0"/>
        </w:numPr>
        <w:rPr>
          <w:rFonts w:hint="eastAsia"/>
          <w:lang w:val="en-US" w:eastAsia="zh-CN"/>
        </w:rPr>
      </w:pP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both"/>
        <w:textAlignment w:val="auto"/>
        <w:rPr>
          <w:sz w:val="32"/>
          <w:szCs w:val="32"/>
        </w:rPr>
      </w:pPr>
      <w:r>
        <w:rPr>
          <w:rFonts w:hint="eastAsia" w:ascii="仿宋_GB2312" w:hAnsi="仿宋_GB2312" w:eastAsia="仿宋_GB2312" w:cs="仿宋_GB2312"/>
          <w:b/>
          <w:bCs/>
          <w:sz w:val="32"/>
          <w:szCs w:val="32"/>
          <w:lang w:val="en-US" w:eastAsia="zh-CN" w:bidi="zh-CN"/>
        </w:rPr>
        <w:t>第</w:t>
      </w:r>
      <w:r>
        <w:rPr>
          <w:rFonts w:hint="eastAsia" w:cs="仿宋_GB2312"/>
          <w:b/>
          <w:bCs/>
          <w:sz w:val="32"/>
          <w:szCs w:val="32"/>
          <w:lang w:val="en-US" w:eastAsia="zh-CN" w:bidi="zh-CN"/>
        </w:rPr>
        <w:t>五</w:t>
      </w:r>
      <w:r>
        <w:rPr>
          <w:rFonts w:hint="eastAsia" w:ascii="仿宋_GB2312" w:hAnsi="仿宋_GB2312" w:eastAsia="仿宋_GB2312" w:cs="仿宋_GB2312"/>
          <w:b/>
          <w:bCs/>
          <w:sz w:val="32"/>
          <w:szCs w:val="32"/>
          <w:lang w:val="en-US" w:eastAsia="zh-CN" w:bidi="zh-CN"/>
        </w:rPr>
        <w:t xml:space="preserve">条 </w:t>
      </w:r>
      <w:r>
        <w:rPr>
          <w:rFonts w:hint="eastAsia"/>
          <w:sz w:val="32"/>
          <w:szCs w:val="32"/>
          <w:lang w:val="en-US" w:eastAsia="zh-CN"/>
        </w:rPr>
        <w:t xml:space="preserve"> </w:t>
      </w:r>
      <w:r>
        <w:rPr>
          <w:rFonts w:hint="eastAsia"/>
          <w:sz w:val="32"/>
          <w:szCs w:val="32"/>
        </w:rPr>
        <w:t>根据《城市房地产管理法》第17条和第43条的规定，土地使用者需要改变土地使用权出让合同约定的土地用途的，必须取得出让方</w:t>
      </w:r>
      <w:r>
        <w:rPr>
          <w:rFonts w:hint="eastAsia"/>
          <w:sz w:val="32"/>
          <w:szCs w:val="32"/>
          <w:lang w:eastAsia="zh-CN"/>
        </w:rPr>
        <w:t>、</w:t>
      </w:r>
      <w:r>
        <w:rPr>
          <w:rFonts w:hint="eastAsia"/>
          <w:sz w:val="32"/>
          <w:szCs w:val="32"/>
        </w:rPr>
        <w:t>县人民政府</w:t>
      </w:r>
      <w:r>
        <w:rPr>
          <w:rFonts w:hint="eastAsia"/>
          <w:sz w:val="32"/>
          <w:szCs w:val="32"/>
          <w:lang w:val="en-US" w:eastAsia="zh-CN"/>
        </w:rPr>
        <w:t>和</w:t>
      </w:r>
      <w:r>
        <w:rPr>
          <w:rFonts w:hint="eastAsia"/>
          <w:sz w:val="32"/>
          <w:szCs w:val="32"/>
        </w:rPr>
        <w:t>规划行政主管部门的同意</w:t>
      </w:r>
      <w:r>
        <w:rPr>
          <w:rFonts w:hint="eastAsia"/>
          <w:sz w:val="32"/>
          <w:szCs w:val="32"/>
          <w:lang w:val="en-US" w:eastAsia="zh-CN"/>
        </w:rPr>
        <w:t>后</w:t>
      </w:r>
      <w:r>
        <w:rPr>
          <w:rFonts w:hint="eastAsia"/>
          <w:sz w:val="32"/>
          <w:szCs w:val="32"/>
        </w:rPr>
        <w:t>，签订土地使用权出让合同变更协议或者重新签订土地使用权出让合同，相应调整土地使用权出让金。</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both"/>
        <w:textAlignment w:val="auto"/>
        <w:rPr>
          <w:rFonts w:hint="default"/>
          <w:sz w:val="32"/>
          <w:szCs w:val="32"/>
          <w:lang w:val="en-US" w:eastAsia="zh-CN"/>
        </w:rPr>
      </w:pPr>
      <w:r>
        <w:rPr>
          <w:rFonts w:hint="eastAsia" w:ascii="仿宋_GB2312" w:hAnsi="仿宋_GB2312" w:eastAsia="仿宋_GB2312" w:cs="仿宋_GB2312"/>
          <w:b/>
          <w:bCs/>
          <w:sz w:val="32"/>
          <w:szCs w:val="32"/>
          <w:lang w:val="en-US" w:eastAsia="zh-CN" w:bidi="zh-CN"/>
        </w:rPr>
        <w:t>第</w:t>
      </w:r>
      <w:r>
        <w:rPr>
          <w:rFonts w:hint="eastAsia" w:cs="仿宋_GB2312"/>
          <w:b/>
          <w:bCs/>
          <w:sz w:val="32"/>
          <w:szCs w:val="32"/>
          <w:lang w:val="en-US" w:eastAsia="zh-CN" w:bidi="zh-CN"/>
        </w:rPr>
        <w:t>六</w:t>
      </w:r>
      <w:r>
        <w:rPr>
          <w:rFonts w:hint="eastAsia" w:ascii="仿宋_GB2312" w:hAnsi="仿宋_GB2312" w:eastAsia="仿宋_GB2312" w:cs="仿宋_GB2312"/>
          <w:b/>
          <w:bCs/>
          <w:sz w:val="32"/>
          <w:szCs w:val="32"/>
          <w:lang w:val="en-US" w:eastAsia="zh-CN" w:bidi="zh-CN"/>
        </w:rPr>
        <w:t xml:space="preserve">条 </w:t>
      </w:r>
      <w:r>
        <w:rPr>
          <w:rFonts w:hint="eastAsia"/>
          <w:sz w:val="32"/>
          <w:szCs w:val="32"/>
          <w:lang w:val="en-US" w:eastAsia="zh-CN"/>
        </w:rPr>
        <w:t>《</w:t>
      </w:r>
      <w:r>
        <w:rPr>
          <w:rFonts w:hint="eastAsia"/>
          <w:sz w:val="32"/>
          <w:szCs w:val="32"/>
        </w:rPr>
        <w:t>中华人民共和国城镇国有土地使用权出让和转让暂行条例</w:t>
      </w:r>
      <w:r>
        <w:rPr>
          <w:rFonts w:hint="eastAsia"/>
          <w:sz w:val="32"/>
          <w:szCs w:val="32"/>
          <w:lang w:eastAsia="zh-CN"/>
        </w:rPr>
        <w:t>》（</w:t>
      </w:r>
      <w:r>
        <w:rPr>
          <w:rFonts w:hint="eastAsia"/>
          <w:sz w:val="32"/>
          <w:szCs w:val="32"/>
        </w:rPr>
        <w:t xml:space="preserve"> 国务院第55号令</w:t>
      </w:r>
      <w:r>
        <w:rPr>
          <w:rFonts w:hint="eastAsia"/>
          <w:sz w:val="32"/>
          <w:szCs w:val="32"/>
          <w:lang w:eastAsia="zh-CN"/>
        </w:rPr>
        <w:t>）</w:t>
      </w:r>
      <w:r>
        <w:rPr>
          <w:rFonts w:hint="eastAsia"/>
          <w:sz w:val="32"/>
          <w:szCs w:val="32"/>
          <w:lang w:val="en-US" w:eastAsia="zh-CN"/>
        </w:rPr>
        <w:t>第十八条规定：“</w:t>
      </w:r>
      <w:r>
        <w:rPr>
          <w:rFonts w:hint="eastAsia"/>
          <w:sz w:val="32"/>
          <w:szCs w:val="32"/>
        </w:rPr>
        <w:t>土地使用者需要改变土地使用权出让合同规定的土地用途的,应当征得出让方同意并经土地管理部门和城市规划部门批准,依照本章的有关规定重新签订土地使用权出让合同,调整土地使用权出让金,并办理登记</w:t>
      </w:r>
      <w:r>
        <w:rPr>
          <w:rFonts w:hint="eastAsia"/>
          <w:sz w:val="32"/>
          <w:szCs w:val="32"/>
          <w:lang w:eastAsia="zh-CN"/>
        </w:rPr>
        <w:t>”</w:t>
      </w:r>
      <w:r>
        <w:rPr>
          <w:rFonts w:hint="eastAsia"/>
          <w:sz w:val="32"/>
          <w:szCs w:val="32"/>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both"/>
        <w:textAlignment w:val="auto"/>
        <w:rPr>
          <w:rFonts w:hint="eastAsia"/>
          <w:color w:val="auto"/>
          <w:sz w:val="32"/>
          <w:szCs w:val="32"/>
          <w:lang w:val="en-US" w:eastAsia="zh-CN"/>
        </w:rPr>
      </w:pPr>
      <w:r>
        <w:rPr>
          <w:rFonts w:hint="eastAsia"/>
          <w:b/>
          <w:bCs/>
          <w:sz w:val="32"/>
          <w:szCs w:val="32"/>
          <w:lang w:val="en-US" w:eastAsia="zh-CN"/>
        </w:rPr>
        <w:t xml:space="preserve">第七条 </w:t>
      </w:r>
      <w:r>
        <w:rPr>
          <w:rFonts w:hint="eastAsia"/>
          <w:sz w:val="32"/>
          <w:szCs w:val="32"/>
        </w:rPr>
        <w:t>《协议出让国有土地使用权规定》（国土资源部21号令）第16条规定：以协议出让方式取得国有土地使用权的土地使用者，需要将土地使用权出让合同约定的土地用途改变为商业、旅游、娱乐和商品住宅等经营性用途的，在取得出让方</w:t>
      </w:r>
      <w:r>
        <w:rPr>
          <w:rFonts w:hint="eastAsia"/>
          <w:color w:val="auto"/>
          <w:sz w:val="32"/>
          <w:szCs w:val="32"/>
        </w:rPr>
        <w:t>和</w:t>
      </w:r>
      <w:r>
        <w:rPr>
          <w:rFonts w:hint="eastAsia"/>
          <w:color w:val="auto"/>
          <w:sz w:val="32"/>
          <w:szCs w:val="32"/>
          <w:lang w:val="en-US" w:eastAsia="zh-CN"/>
        </w:rPr>
        <w:t>县</w:t>
      </w:r>
      <w:r>
        <w:rPr>
          <w:rFonts w:hint="eastAsia"/>
          <w:color w:val="auto"/>
          <w:sz w:val="32"/>
          <w:szCs w:val="32"/>
        </w:rPr>
        <w:t>规划管理部门同意后，签订出让合同变更协议或重新签订出让合同，按变更后的土地用途，</w:t>
      </w:r>
      <w:r>
        <w:rPr>
          <w:rFonts w:hint="eastAsia"/>
          <w:color w:val="auto"/>
          <w:sz w:val="32"/>
          <w:szCs w:val="32"/>
          <w:lang w:val="en-US" w:eastAsia="zh-CN"/>
        </w:rPr>
        <w:t>以变更时的土地市场价格补缴相应的土地使用权出让金，并依法办理土地使用权变更登记手续。</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color w:val="auto"/>
          <w:sz w:val="32"/>
          <w:szCs w:val="32"/>
          <w:lang w:val="en-US" w:eastAsia="zh-CN"/>
        </w:rPr>
      </w:pPr>
    </w:p>
    <w:p>
      <w:pPr>
        <w:pStyle w:val="4"/>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747" w:leftChars="0" w:firstLine="2560" w:firstLineChars="800"/>
        <w:jc w:val="left"/>
        <w:textAlignment w:val="auto"/>
        <w:rPr>
          <w:rFonts w:hint="eastAsia" w:ascii="黑体" w:eastAsia="黑体"/>
        </w:rPr>
      </w:pPr>
      <w:r>
        <w:rPr>
          <w:rFonts w:hint="eastAsia" w:ascii="黑体" w:eastAsia="黑体"/>
          <w:lang w:val="en-US"/>
        </w:rPr>
        <w:t xml:space="preserve"> </w:t>
      </w:r>
      <w:r>
        <w:rPr>
          <w:rFonts w:hint="eastAsia" w:ascii="黑体" w:eastAsia="黑体"/>
        </w:rPr>
        <w:t>办理程序</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Chars="800"/>
        <w:jc w:val="both"/>
        <w:textAlignment w:val="auto"/>
        <w:rPr>
          <w:rFonts w:hint="eastAsia" w:ascii="黑体" w:eastAsia="黑体"/>
        </w:rPr>
      </w:pPr>
    </w:p>
    <w:p>
      <w:pPr>
        <w:keepNext w:val="0"/>
        <w:keepLines w:val="0"/>
        <w:pageBreakBefore w:val="0"/>
        <w:widowControl w:val="0"/>
        <w:tabs>
          <w:tab w:val="left" w:pos="1069"/>
        </w:tabs>
        <w:kinsoku/>
        <w:wordWrap/>
        <w:overflowPunct/>
        <w:topLinePunct w:val="0"/>
        <w:autoSpaceDE w:val="0"/>
        <w:autoSpaceDN w:val="0"/>
        <w:bidi w:val="0"/>
        <w:adjustRightInd/>
        <w:snapToGrid/>
        <w:spacing w:line="600" w:lineRule="exact"/>
        <w:ind w:right="158" w:firstLine="643" w:firstLineChars="200"/>
        <w:jc w:val="both"/>
        <w:textAlignment w:val="auto"/>
        <w:rPr>
          <w:sz w:val="32"/>
          <w:szCs w:val="32"/>
        </w:rPr>
      </w:pPr>
      <w:r>
        <w:rPr>
          <w:rFonts w:hint="eastAsia"/>
          <w:b/>
          <w:bCs/>
          <w:sz w:val="32"/>
          <w:szCs w:val="32"/>
          <w:lang w:val="en-US" w:eastAsia="zh-CN"/>
        </w:rPr>
        <w:t>第八条</w:t>
      </w:r>
      <w:r>
        <w:rPr>
          <w:rFonts w:hint="eastAsia"/>
          <w:sz w:val="32"/>
          <w:szCs w:val="32"/>
          <w:lang w:val="en-US" w:eastAsia="zh-CN"/>
        </w:rPr>
        <w:t xml:space="preserve"> </w:t>
      </w:r>
      <w:r>
        <w:rPr>
          <w:rFonts w:hint="eastAsia"/>
          <w:sz w:val="32"/>
          <w:szCs w:val="32"/>
        </w:rPr>
        <w:t>依据</w:t>
      </w:r>
      <w:r>
        <w:rPr>
          <w:rFonts w:hint="eastAsia"/>
          <w:sz w:val="32"/>
          <w:szCs w:val="32"/>
          <w:lang w:val="en-US" w:eastAsia="zh-CN"/>
        </w:rPr>
        <w:t>《</w:t>
      </w:r>
      <w:r>
        <w:rPr>
          <w:rFonts w:hint="eastAsia"/>
          <w:sz w:val="32"/>
          <w:szCs w:val="32"/>
        </w:rPr>
        <w:t>中华人民共和国城镇国有土地使用权出让和转让暂行条例</w:t>
      </w:r>
      <w:r>
        <w:rPr>
          <w:rFonts w:hint="eastAsia"/>
          <w:sz w:val="32"/>
          <w:szCs w:val="32"/>
          <w:lang w:eastAsia="zh-CN"/>
        </w:rPr>
        <w:t>》、</w:t>
      </w:r>
      <w:r>
        <w:rPr>
          <w:rFonts w:hint="eastAsia"/>
          <w:sz w:val="32"/>
          <w:szCs w:val="32"/>
        </w:rPr>
        <w:t>《协议出让国有土地使用权规范》</w:t>
      </w:r>
      <w:r>
        <w:rPr>
          <w:rFonts w:hint="eastAsia"/>
          <w:sz w:val="32"/>
          <w:szCs w:val="32"/>
          <w:lang w:val="en-US" w:eastAsia="zh-CN"/>
        </w:rPr>
        <w:t>等相关法律规定</w:t>
      </w:r>
      <w:r>
        <w:rPr>
          <w:rFonts w:hint="eastAsia"/>
          <w:sz w:val="32"/>
          <w:szCs w:val="32"/>
        </w:rPr>
        <w:t>，对原出让合同约定的土地用途、出让年期、出让金额等进行相应调整，重新核定，具体流程如下：</w:t>
      </w:r>
    </w:p>
    <w:p>
      <w:pPr>
        <w:keepNext w:val="0"/>
        <w:keepLines w:val="0"/>
        <w:pageBreakBefore w:val="0"/>
        <w:widowControl w:val="0"/>
        <w:tabs>
          <w:tab w:val="left" w:pos="1069"/>
        </w:tabs>
        <w:kinsoku/>
        <w:wordWrap/>
        <w:overflowPunct/>
        <w:topLinePunct w:val="0"/>
        <w:autoSpaceDE w:val="0"/>
        <w:autoSpaceDN w:val="0"/>
        <w:bidi w:val="0"/>
        <w:adjustRightInd/>
        <w:snapToGrid/>
        <w:spacing w:line="600" w:lineRule="exact"/>
        <w:ind w:right="158" w:firstLine="640" w:firstLineChars="200"/>
        <w:jc w:val="both"/>
        <w:textAlignment w:val="auto"/>
        <w:rPr>
          <w:rFonts w:hint="default" w:eastAsia="仿宋_GB2312"/>
          <w:sz w:val="32"/>
          <w:szCs w:val="32"/>
          <w:lang w:val="en-US" w:eastAsia="zh-CN"/>
        </w:rPr>
      </w:pPr>
      <w:r>
        <w:rPr>
          <w:rFonts w:hint="eastAsia"/>
          <w:sz w:val="32"/>
          <w:szCs w:val="32"/>
        </w:rPr>
        <w:t>1、</w:t>
      </w:r>
      <w:r>
        <w:rPr>
          <w:rFonts w:hint="eastAsia"/>
          <w:sz w:val="32"/>
          <w:szCs w:val="32"/>
          <w:lang w:val="en-US" w:eastAsia="zh-CN"/>
        </w:rPr>
        <w:t>由建设单位向县</w:t>
      </w:r>
      <w:r>
        <w:rPr>
          <w:sz w:val="32"/>
          <w:szCs w:val="32"/>
        </w:rPr>
        <w:t>自然资源和规划局</w:t>
      </w:r>
      <w:r>
        <w:rPr>
          <w:rFonts w:hint="eastAsia"/>
          <w:sz w:val="32"/>
          <w:szCs w:val="32"/>
          <w:lang w:val="en-US" w:eastAsia="zh-CN"/>
        </w:rPr>
        <w:t>提交土地用途变更的申请和相关测绘资料。</w:t>
      </w:r>
    </w:p>
    <w:p>
      <w:pPr>
        <w:keepNext w:val="0"/>
        <w:keepLines w:val="0"/>
        <w:pageBreakBefore w:val="0"/>
        <w:widowControl w:val="0"/>
        <w:tabs>
          <w:tab w:val="left" w:pos="1069"/>
        </w:tabs>
        <w:kinsoku/>
        <w:wordWrap/>
        <w:overflowPunct/>
        <w:topLinePunct w:val="0"/>
        <w:autoSpaceDE w:val="0"/>
        <w:autoSpaceDN w:val="0"/>
        <w:bidi w:val="0"/>
        <w:adjustRightInd/>
        <w:snapToGrid/>
        <w:spacing w:line="600" w:lineRule="exact"/>
        <w:ind w:right="158" w:firstLine="640" w:firstLineChars="200"/>
        <w:jc w:val="both"/>
        <w:textAlignment w:val="auto"/>
        <w:rPr>
          <w:rFonts w:hint="eastAsia"/>
          <w:sz w:val="32"/>
          <w:szCs w:val="32"/>
          <w:lang w:val="en-US" w:eastAsia="zh-CN"/>
        </w:rPr>
      </w:pPr>
      <w:r>
        <w:rPr>
          <w:rFonts w:hint="eastAsia"/>
          <w:sz w:val="32"/>
          <w:szCs w:val="32"/>
          <w:lang w:val="en-US" w:eastAsia="zh-CN"/>
        </w:rPr>
        <w:t>2、县</w:t>
      </w:r>
      <w:r>
        <w:rPr>
          <w:sz w:val="32"/>
          <w:szCs w:val="32"/>
        </w:rPr>
        <w:t>自然资源和规划局依据规委会审议通过的</w:t>
      </w:r>
      <w:r>
        <w:rPr>
          <w:rFonts w:hint="eastAsia"/>
          <w:sz w:val="32"/>
          <w:szCs w:val="32"/>
          <w:lang w:val="en-US" w:eastAsia="zh-CN"/>
        </w:rPr>
        <w:t>规划设计方案</w:t>
      </w:r>
      <w:r>
        <w:rPr>
          <w:sz w:val="32"/>
          <w:szCs w:val="32"/>
        </w:rPr>
        <w:t>出具规划设计条件补充说明</w:t>
      </w:r>
      <w:r>
        <w:rPr>
          <w:rFonts w:hint="eastAsia"/>
          <w:sz w:val="32"/>
          <w:szCs w:val="32"/>
          <w:lang w:eastAsia="zh-CN"/>
        </w:rPr>
        <w:t>，</w:t>
      </w:r>
      <w:r>
        <w:rPr>
          <w:rFonts w:hint="eastAsia"/>
          <w:sz w:val="32"/>
          <w:szCs w:val="32"/>
          <w:lang w:val="en-US" w:eastAsia="zh-CN"/>
        </w:rPr>
        <w:t>说明中</w:t>
      </w:r>
      <w:r>
        <w:rPr>
          <w:sz w:val="32"/>
          <w:szCs w:val="32"/>
        </w:rPr>
        <w:t>明确土地性质为居住用地兼容商业服务设施用地</w:t>
      </w:r>
      <w:r>
        <w:rPr>
          <w:rFonts w:hint="eastAsia"/>
          <w:sz w:val="32"/>
          <w:szCs w:val="32"/>
          <w:lang w:eastAsia="zh-CN"/>
        </w:rPr>
        <w:t>；</w:t>
      </w:r>
      <w:r>
        <w:rPr>
          <w:sz w:val="32"/>
          <w:szCs w:val="32"/>
        </w:rPr>
        <w:t>明确配套商业建筑面积和对应的居住用地兼容商业服务设施用地面积。</w:t>
      </w:r>
      <w:r>
        <w:rPr>
          <w:rFonts w:hint="eastAsia"/>
          <w:sz w:val="32"/>
          <w:szCs w:val="32"/>
          <w:lang w:val="en-US" w:eastAsia="zh-CN"/>
        </w:rPr>
        <w:t>2009年4月固安县城乡规划局成立前建设的项目，由建设单位提供设计方案总平图等相关资料。</w:t>
      </w:r>
    </w:p>
    <w:p>
      <w:pPr>
        <w:keepNext w:val="0"/>
        <w:keepLines w:val="0"/>
        <w:pageBreakBefore w:val="0"/>
        <w:widowControl w:val="0"/>
        <w:tabs>
          <w:tab w:val="left" w:pos="1069"/>
        </w:tabs>
        <w:kinsoku/>
        <w:wordWrap/>
        <w:overflowPunct/>
        <w:topLinePunct w:val="0"/>
        <w:autoSpaceDE w:val="0"/>
        <w:autoSpaceDN w:val="0"/>
        <w:bidi w:val="0"/>
        <w:adjustRightInd/>
        <w:snapToGrid/>
        <w:spacing w:line="600" w:lineRule="exact"/>
        <w:ind w:right="158" w:firstLine="640" w:firstLineChars="200"/>
        <w:jc w:val="both"/>
        <w:textAlignment w:val="auto"/>
        <w:rPr>
          <w:sz w:val="32"/>
          <w:szCs w:val="32"/>
        </w:rPr>
      </w:pPr>
      <w:r>
        <w:rPr>
          <w:rFonts w:hint="eastAsia"/>
          <w:sz w:val="32"/>
          <w:szCs w:val="32"/>
          <w:lang w:val="en-US" w:eastAsia="zh-CN"/>
        </w:rPr>
        <w:t>3</w:t>
      </w:r>
      <w:r>
        <w:rPr>
          <w:rFonts w:hint="eastAsia"/>
          <w:sz w:val="32"/>
          <w:szCs w:val="32"/>
        </w:rPr>
        <w:t>、</w:t>
      </w:r>
      <w:r>
        <w:rPr>
          <w:rFonts w:hint="eastAsia"/>
          <w:sz w:val="32"/>
          <w:szCs w:val="32"/>
          <w:lang w:val="en-US" w:eastAsia="zh-CN"/>
        </w:rPr>
        <w:t>县</w:t>
      </w:r>
      <w:r>
        <w:rPr>
          <w:sz w:val="32"/>
          <w:szCs w:val="32"/>
        </w:rPr>
        <w:t>自然资源和规划局评估依据规划条件补充说明签订土地出让合同补充合同，明确居住用地兼容商业服务设施用地面积，</w:t>
      </w:r>
      <w:r>
        <w:rPr>
          <w:rFonts w:hint="eastAsia"/>
          <w:sz w:val="32"/>
          <w:szCs w:val="32"/>
        </w:rPr>
        <w:t>用地性质为其他商服用地，出让年限40年，</w:t>
      </w:r>
      <w:r>
        <w:rPr>
          <w:sz w:val="32"/>
          <w:szCs w:val="32"/>
        </w:rPr>
        <w:t>并按商服用地标准评估土地出让金，需要补缴出让金的根据现用途现地价评估价格与原用途现地价评估价格的差价补缴土地出让金，土地评估费用由建设单位负担。补充合同条款及补缴出让金金额报请县政府批准后实施。</w:t>
      </w:r>
    </w:p>
    <w:p>
      <w:pPr>
        <w:keepNext w:val="0"/>
        <w:keepLines w:val="0"/>
        <w:pageBreakBefore w:val="0"/>
        <w:widowControl w:val="0"/>
        <w:tabs>
          <w:tab w:val="left" w:pos="1069"/>
        </w:tabs>
        <w:kinsoku/>
        <w:wordWrap/>
        <w:overflowPunct/>
        <w:topLinePunct w:val="0"/>
        <w:autoSpaceDE w:val="0"/>
        <w:autoSpaceDN w:val="0"/>
        <w:bidi w:val="0"/>
        <w:adjustRightInd/>
        <w:snapToGrid/>
        <w:spacing w:line="600" w:lineRule="exact"/>
        <w:ind w:right="158" w:firstLine="640" w:firstLineChars="200"/>
        <w:jc w:val="both"/>
        <w:textAlignment w:val="auto"/>
        <w:rPr>
          <w:rFonts w:hint="default" w:eastAsia="仿宋_GB2312"/>
          <w:sz w:val="32"/>
          <w:szCs w:val="32"/>
          <w:lang w:val="en-US" w:eastAsia="zh-CN"/>
        </w:rPr>
      </w:pPr>
      <w:r>
        <w:rPr>
          <w:rFonts w:hint="eastAsia"/>
          <w:sz w:val="32"/>
          <w:szCs w:val="32"/>
          <w:lang w:val="en-US" w:eastAsia="zh-CN"/>
        </w:rPr>
        <w:t>4、</w:t>
      </w:r>
      <w:r>
        <w:rPr>
          <w:rFonts w:hint="eastAsia"/>
          <w:sz w:val="32"/>
          <w:lang w:val="en-US" w:eastAsia="zh-CN"/>
        </w:rPr>
        <w:t>县</w:t>
      </w:r>
      <w:r>
        <w:rPr>
          <w:sz w:val="32"/>
        </w:rPr>
        <w:t>自然资源和规划局</w:t>
      </w:r>
      <w:r>
        <w:rPr>
          <w:rFonts w:hint="eastAsia"/>
          <w:sz w:val="32"/>
          <w:lang w:val="en-US" w:eastAsia="zh-CN"/>
        </w:rPr>
        <w:t>依据规划设计条件补充说明、土地出让合同补充合同、缴纳出让金票据、完税凭证等登记要件，办理用途变更登记。</w:t>
      </w:r>
    </w:p>
    <w:p>
      <w:pPr>
        <w:keepNext w:val="0"/>
        <w:keepLines w:val="0"/>
        <w:pageBreakBefore w:val="0"/>
        <w:widowControl w:val="0"/>
        <w:tabs>
          <w:tab w:val="left" w:pos="1076"/>
        </w:tabs>
        <w:kinsoku/>
        <w:wordWrap/>
        <w:overflowPunct/>
        <w:topLinePunct w:val="0"/>
        <w:autoSpaceDE w:val="0"/>
        <w:autoSpaceDN w:val="0"/>
        <w:bidi w:val="0"/>
        <w:adjustRightInd/>
        <w:snapToGrid/>
        <w:spacing w:line="600" w:lineRule="exact"/>
        <w:ind w:firstLine="640" w:firstLineChars="200"/>
        <w:jc w:val="both"/>
        <w:textAlignment w:val="auto"/>
        <w:rPr>
          <w:sz w:val="32"/>
        </w:rPr>
      </w:pPr>
      <w:r>
        <w:rPr>
          <w:rFonts w:hint="eastAsia"/>
          <w:sz w:val="32"/>
          <w:lang w:val="en-US" w:eastAsia="zh-CN"/>
        </w:rPr>
        <w:t>5</w:t>
      </w:r>
      <w:r>
        <w:rPr>
          <w:rFonts w:hint="eastAsia"/>
          <w:sz w:val="32"/>
        </w:rPr>
        <w:t>、</w:t>
      </w:r>
      <w:r>
        <w:rPr>
          <w:rFonts w:hint="eastAsia"/>
          <w:sz w:val="32"/>
          <w:lang w:val="en-US" w:eastAsia="zh-CN"/>
        </w:rPr>
        <w:t>县</w:t>
      </w:r>
      <w:r>
        <w:rPr>
          <w:sz w:val="32"/>
        </w:rPr>
        <w:t>自然资源和规划局负责</w:t>
      </w:r>
      <w:r>
        <w:rPr>
          <w:rFonts w:hint="eastAsia"/>
          <w:sz w:val="32"/>
          <w:lang w:val="en-US" w:eastAsia="zh-CN"/>
        </w:rPr>
        <w:t>根据用途变更登记后的土地用途办理</w:t>
      </w:r>
      <w:r>
        <w:rPr>
          <w:sz w:val="32"/>
        </w:rPr>
        <w:t>不动产权证</w:t>
      </w:r>
      <w:r>
        <w:rPr>
          <w:rFonts w:hint="eastAsia"/>
          <w:sz w:val="32"/>
          <w:lang w:val="en-US" w:eastAsia="zh-CN"/>
        </w:rPr>
        <w:t>登记手续；不动产权证</w:t>
      </w:r>
      <w:r>
        <w:rPr>
          <w:sz w:val="32"/>
        </w:rPr>
        <w:t>书标注居住用地兼容商业服务设施用地使用功能、使用年限 40 年。</w:t>
      </w:r>
    </w:p>
    <w:p>
      <w:pPr>
        <w:keepNext w:val="0"/>
        <w:keepLines w:val="0"/>
        <w:pageBreakBefore w:val="0"/>
        <w:widowControl w:val="0"/>
        <w:tabs>
          <w:tab w:val="left" w:pos="1076"/>
        </w:tabs>
        <w:kinsoku/>
        <w:wordWrap/>
        <w:overflowPunct/>
        <w:topLinePunct w:val="0"/>
        <w:autoSpaceDE w:val="0"/>
        <w:autoSpaceDN w:val="0"/>
        <w:bidi w:val="0"/>
        <w:adjustRightInd/>
        <w:snapToGrid/>
        <w:spacing w:line="600" w:lineRule="exact"/>
        <w:ind w:firstLine="640" w:firstLineChars="200"/>
        <w:jc w:val="both"/>
        <w:textAlignment w:val="auto"/>
        <w:rPr>
          <w:sz w:val="32"/>
        </w:rPr>
      </w:pPr>
      <w:r>
        <w:rPr>
          <w:rFonts w:hint="eastAsia"/>
          <w:sz w:val="32"/>
          <w:lang w:val="en-US" w:eastAsia="zh-CN"/>
        </w:rPr>
        <w:t>6、</w:t>
      </w:r>
      <w:r>
        <w:rPr>
          <w:sz w:val="32"/>
        </w:rPr>
        <w:t>对于居住用地兼容商业服务设施用地已完成初始登记的，参照未完成首次登记或需补充变更的程序办理房屋产权相关登记。</w:t>
      </w:r>
    </w:p>
    <w:p>
      <w:pPr>
        <w:keepNext w:val="0"/>
        <w:keepLines w:val="0"/>
        <w:pageBreakBefore w:val="0"/>
        <w:widowControl w:val="0"/>
        <w:tabs>
          <w:tab w:val="left" w:pos="1076"/>
        </w:tabs>
        <w:kinsoku/>
        <w:wordWrap/>
        <w:overflowPunct/>
        <w:topLinePunct w:val="0"/>
        <w:autoSpaceDE w:val="0"/>
        <w:autoSpaceDN w:val="0"/>
        <w:bidi w:val="0"/>
        <w:adjustRightInd/>
        <w:snapToGrid/>
        <w:spacing w:line="600" w:lineRule="exact"/>
        <w:ind w:firstLine="643" w:firstLineChars="200"/>
        <w:jc w:val="both"/>
        <w:textAlignment w:val="auto"/>
        <w:rPr>
          <w:sz w:val="32"/>
        </w:rPr>
      </w:pPr>
      <w:r>
        <w:rPr>
          <w:rFonts w:hint="eastAsia" w:ascii="仿宋_GB2312" w:hAnsi="仿宋_GB2312" w:eastAsia="仿宋_GB2312" w:cs="仿宋_GB2312"/>
          <w:b/>
          <w:bCs/>
          <w:sz w:val="32"/>
          <w:szCs w:val="32"/>
          <w:lang w:val="en-US" w:eastAsia="zh-CN" w:bidi="zh-CN"/>
        </w:rPr>
        <w:t>第</w:t>
      </w:r>
      <w:r>
        <w:rPr>
          <w:rFonts w:hint="eastAsia" w:cs="仿宋_GB2312"/>
          <w:b/>
          <w:bCs/>
          <w:sz w:val="32"/>
          <w:szCs w:val="32"/>
          <w:lang w:val="en-US" w:eastAsia="zh-CN" w:bidi="zh-CN"/>
        </w:rPr>
        <w:t>九</w:t>
      </w:r>
      <w:r>
        <w:rPr>
          <w:rFonts w:hint="eastAsia" w:ascii="仿宋_GB2312" w:hAnsi="仿宋_GB2312" w:eastAsia="仿宋_GB2312" w:cs="仿宋_GB2312"/>
          <w:b/>
          <w:bCs/>
          <w:sz w:val="32"/>
          <w:szCs w:val="32"/>
          <w:lang w:val="en-US" w:eastAsia="zh-CN" w:bidi="zh-CN"/>
        </w:rPr>
        <w:t>条</w:t>
      </w:r>
      <w:r>
        <w:rPr>
          <w:rFonts w:hint="eastAsia"/>
          <w:sz w:val="32"/>
          <w:lang w:val="en-US" w:eastAsia="zh-CN"/>
        </w:rPr>
        <w:t xml:space="preserve">  </w:t>
      </w:r>
      <w:r>
        <w:rPr>
          <w:sz w:val="32"/>
        </w:rPr>
        <w:t>建设单位签订土地出让合同补充合同、补缴土地出让金后，可向住房和城乡建设局、行政审批局申请对未分摊、未封存的居住用地兼容商业服务设施用地办理现房销售许可手续。</w:t>
      </w:r>
    </w:p>
    <w:p>
      <w:pPr>
        <w:pStyle w:val="4"/>
        <w:keepNext w:val="0"/>
        <w:keepLines w:val="0"/>
        <w:pageBreakBefore w:val="0"/>
        <w:widowControl w:val="0"/>
        <w:kinsoku/>
        <w:wordWrap/>
        <w:overflowPunct/>
        <w:topLinePunct w:val="0"/>
        <w:autoSpaceDE w:val="0"/>
        <w:autoSpaceDN w:val="0"/>
        <w:bidi w:val="0"/>
        <w:adjustRightInd/>
        <w:snapToGrid/>
        <w:spacing w:line="600" w:lineRule="exact"/>
        <w:ind w:right="271" w:firstLine="2880" w:firstLineChars="900"/>
        <w:jc w:val="both"/>
        <w:textAlignment w:val="auto"/>
        <w:rPr>
          <w:rFonts w:hint="eastAsia" w:ascii="黑体" w:eastAsia="黑体"/>
          <w:lang w:val="en-US"/>
        </w:rPr>
      </w:pPr>
      <w:r>
        <w:rPr>
          <w:rFonts w:hint="eastAsia" w:ascii="黑体" w:eastAsia="黑体"/>
        </w:rPr>
        <w:t>第</w:t>
      </w:r>
      <w:r>
        <w:rPr>
          <w:rFonts w:hint="eastAsia" w:ascii="黑体" w:eastAsia="黑体"/>
          <w:lang w:val="en-US" w:eastAsia="zh-CN"/>
        </w:rPr>
        <w:t>五</w:t>
      </w:r>
      <w:r>
        <w:rPr>
          <w:rFonts w:hint="eastAsia" w:ascii="黑体" w:eastAsia="黑体"/>
        </w:rPr>
        <w:t>章</w:t>
      </w:r>
      <w:r>
        <w:rPr>
          <w:rFonts w:hint="eastAsia" w:ascii="黑体" w:eastAsia="黑体"/>
          <w:lang w:val="en-US"/>
        </w:rPr>
        <w:t xml:space="preserve">    附</w:t>
      </w:r>
      <w:r>
        <w:rPr>
          <w:rFonts w:hint="eastAsia" w:ascii="黑体" w:eastAsia="黑体"/>
          <w:lang w:val="en-US" w:eastAsia="zh-CN"/>
        </w:rPr>
        <w:t xml:space="preserve"> </w:t>
      </w:r>
      <w:r>
        <w:rPr>
          <w:rFonts w:hint="eastAsia" w:ascii="黑体" w:eastAsia="黑体"/>
          <w:lang w:val="en-US"/>
        </w:rPr>
        <w:t>则</w:t>
      </w:r>
    </w:p>
    <w:p>
      <w:pPr>
        <w:pStyle w:val="4"/>
        <w:keepNext w:val="0"/>
        <w:keepLines w:val="0"/>
        <w:pageBreakBefore w:val="0"/>
        <w:widowControl w:val="0"/>
        <w:kinsoku/>
        <w:wordWrap/>
        <w:overflowPunct/>
        <w:topLinePunct w:val="0"/>
        <w:autoSpaceDE w:val="0"/>
        <w:autoSpaceDN w:val="0"/>
        <w:bidi w:val="0"/>
        <w:adjustRightInd/>
        <w:snapToGrid/>
        <w:spacing w:line="600" w:lineRule="exact"/>
        <w:ind w:right="271" w:firstLine="2880" w:firstLineChars="900"/>
        <w:jc w:val="both"/>
        <w:textAlignment w:val="auto"/>
        <w:rPr>
          <w:rFonts w:hint="eastAsia" w:ascii="黑体" w:eastAsia="黑体"/>
          <w:lang w:val="en-US"/>
        </w:rPr>
      </w:pPr>
    </w:p>
    <w:p>
      <w:pPr>
        <w:pStyle w:val="4"/>
        <w:keepNext w:val="0"/>
        <w:keepLines w:val="0"/>
        <w:pageBreakBefore w:val="0"/>
        <w:widowControl w:val="0"/>
        <w:kinsoku/>
        <w:wordWrap/>
        <w:overflowPunct/>
        <w:topLinePunct w:val="0"/>
        <w:autoSpaceDE w:val="0"/>
        <w:autoSpaceDN w:val="0"/>
        <w:bidi w:val="0"/>
        <w:adjustRightInd/>
        <w:snapToGrid/>
        <w:spacing w:line="600" w:lineRule="exact"/>
        <w:ind w:right="271" w:firstLine="643" w:firstLineChars="200"/>
        <w:jc w:val="both"/>
        <w:textAlignment w:val="auto"/>
        <w:rPr>
          <w:lang w:val="en-US"/>
        </w:rPr>
      </w:pPr>
      <w:r>
        <w:rPr>
          <w:rFonts w:hint="eastAsia"/>
          <w:b/>
          <w:bCs/>
          <w:lang w:val="en-US"/>
        </w:rPr>
        <w:t>第</w:t>
      </w:r>
      <w:r>
        <w:rPr>
          <w:rFonts w:hint="eastAsia"/>
          <w:b/>
          <w:bCs/>
          <w:lang w:val="en-US" w:eastAsia="zh-CN"/>
        </w:rPr>
        <w:t>十</w:t>
      </w:r>
      <w:r>
        <w:rPr>
          <w:rFonts w:hint="eastAsia"/>
          <w:b/>
          <w:bCs/>
          <w:lang w:val="en-US"/>
        </w:rPr>
        <w:t>条</w:t>
      </w:r>
      <w:r>
        <w:rPr>
          <w:rFonts w:hint="eastAsia"/>
          <w:lang w:val="en-US"/>
        </w:rPr>
        <w:t xml:space="preserve">  </w:t>
      </w:r>
      <w:r>
        <w:rPr>
          <w:rFonts w:hint="eastAsia"/>
          <w:lang w:val="en-US" w:eastAsia="zh-CN"/>
        </w:rPr>
        <w:t xml:space="preserve"> </w:t>
      </w:r>
      <w:r>
        <w:rPr>
          <w:rFonts w:hint="eastAsia"/>
          <w:lang w:val="en-US"/>
        </w:rPr>
        <w:t>本办法自</w:t>
      </w:r>
      <w:r>
        <w:rPr>
          <w:rFonts w:hint="eastAsia"/>
          <w:lang w:val="en-US" w:eastAsia="zh-CN"/>
        </w:rPr>
        <w:t>发布之日</w:t>
      </w:r>
      <w:r>
        <w:rPr>
          <w:rFonts w:hint="eastAsia"/>
          <w:lang w:val="en-US"/>
        </w:rPr>
        <w:t>起施行。</w:t>
      </w:r>
    </w:p>
    <w:p>
      <w:pPr>
        <w:pStyle w:val="4"/>
        <w:keepNext w:val="0"/>
        <w:keepLines w:val="0"/>
        <w:pageBreakBefore w:val="0"/>
        <w:widowControl w:val="0"/>
        <w:kinsoku/>
        <w:wordWrap/>
        <w:overflowPunct/>
        <w:topLinePunct w:val="0"/>
        <w:autoSpaceDE w:val="0"/>
        <w:autoSpaceDN w:val="0"/>
        <w:bidi w:val="0"/>
        <w:adjustRightInd/>
        <w:snapToGrid/>
        <w:spacing w:line="600" w:lineRule="exact"/>
        <w:ind w:right="271" w:firstLine="643" w:firstLineChars="200"/>
        <w:jc w:val="both"/>
        <w:textAlignment w:val="auto"/>
        <w:rPr>
          <w:rFonts w:hint="default"/>
          <w:lang w:val="en-US" w:eastAsia="zh-CN"/>
        </w:rPr>
      </w:pPr>
      <w:r>
        <w:rPr>
          <w:rFonts w:hint="eastAsia"/>
          <w:b/>
          <w:bCs/>
          <w:lang w:val="en-US"/>
        </w:rPr>
        <w:t>第</w:t>
      </w:r>
      <w:r>
        <w:rPr>
          <w:rFonts w:hint="eastAsia"/>
          <w:b/>
          <w:bCs/>
          <w:lang w:val="en-US" w:eastAsia="zh-CN"/>
        </w:rPr>
        <w:t>十一</w:t>
      </w:r>
      <w:r>
        <w:rPr>
          <w:rFonts w:hint="eastAsia"/>
          <w:b/>
          <w:bCs/>
          <w:lang w:val="en-US"/>
        </w:rPr>
        <w:t>条</w:t>
      </w:r>
      <w:r>
        <w:rPr>
          <w:rFonts w:hint="eastAsia"/>
          <w:lang w:val="en-US"/>
        </w:rPr>
        <w:t xml:space="preserve"> 本办法由县自然资源和规划局负责解释。</w:t>
      </w:r>
    </w:p>
    <w:sectPr>
      <w:footerReference r:id="rId3" w:type="default"/>
      <w:pgSz w:w="11910" w:h="16840"/>
      <w:pgMar w:top="1757" w:right="1474" w:bottom="1757" w:left="1474" w:header="0" w:footer="97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3761740</wp:posOffset>
              </wp:positionH>
              <wp:positionV relativeFrom="page">
                <wp:posOffset>9932670</wp:posOffset>
              </wp:positionV>
              <wp:extent cx="1092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9220" cy="139700"/>
                      </a:xfrm>
                      <a:prstGeom prst="rect">
                        <a:avLst/>
                      </a:prstGeom>
                      <a:noFill/>
                      <a:ln>
                        <a:noFill/>
                      </a:ln>
                    </wps:spPr>
                    <wps:txbx>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6.2pt;margin-top:782.1pt;height:11pt;width:8.6pt;mso-position-horizontal-relative:page;mso-position-vertical-relative:page;z-index:-251657216;mso-width-relative:page;mso-height-relative:page;" filled="f" stroked="f" coordsize="21600,21600" o:gfxdata="UEsDBAoAAAAAAIdO4kAAAAAAAAAAAAAAAAAEAAAAZHJzL1BLAwQUAAAACACHTuJAAtF4ztoAAAAN&#10;AQAADwAAAGRycy9kb3ducmV2LnhtbE2Py07DMBBF90j8gzVI7KjdqLWaEKdCCFZIiDQsWDrxNLEa&#10;j0PsPvh73BUsZ+7RnTPl9uJGdsI5WE8KlgsBDKnzxlKv4LN5fdgAC1GT0aMnVPCDAbbV7U2pC+PP&#10;VONpF3uWSigUWsEQ41RwHroBnQ4LPyGlbO9np2Ma556bWZ9TuRt5JoTkTltKFwY94fOA3WF3dAqe&#10;vqh+sd/v7Ue9r23T5ILe5EGp+7uleAQW8RL/YLjqJ3WoklPrj2QCGxWs82yV0BSs5SoDlhApcgms&#10;va42MgNelfz/F9UvUEsDBBQAAAAIAIdO4kDVg+cyuQEAAHEDAAAOAAAAZHJzL2Uyb0RvYy54bWyt&#10;U82O0zAQviPxDpbv1GmRgI2aroSqRUgIkJZ9ANdxGkv+04zbpC8Ab8CJC3eeq8/B2E27sHvZw16S&#10;8czkm+/7xllej86yvQY0wTd8Pqs4016F1vhtw+++3bx6xxkm6Vtpg9cNP2jk16uXL5ZDrPUi9MG2&#10;GhiBeKyH2PA+pVgLgarXTuIsRO2p2AVwMtERtqIFORC6s2JRVW/EEKCNEJRGpOz6VOQTIjwFMHSd&#10;UXod1M5pn06ooK1MJAl7E5GvCtuu0yp96TrUidmGk9JUnjSE4k1+itVS1luQsTdqoiCfQuGBJieN&#10;p6EXqLVMku3APIJyRkHA0KWZCk6chBRHSMW8euDNbS+jLlrIaowX0/H5YNXn/VdgpqWbwJmXjhZ+&#10;/Pnj+OvP8fd3Ns/2DBFr6rqN1JfG92HMrVMeKZlVjx24/CY9jOpk7uFirh4TU/mj6mqxoIqi0vz1&#10;1duqmC/uP46A6YMOjuWg4UC7K5bK/SdMNJBazy15lg83xtqyP+v/S1BjzojM/MQwR2ncjBPtTWgP&#10;pMZ+9ORkvhXnAM7B5hzsIphtT3SK5gJJmyhkpluTV/3vuQy+/1N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C0XjO2gAAAA0BAAAPAAAAAAAAAAEAIAAAACIAAABkcnMvZG93bnJldi54bWxQSwEC&#10;FAAUAAAACACHTuJA1YPnMrkBAABxAwAADgAAAAAAAAABACAAAAApAQAAZHJzL2Uyb0RvYy54bWxQ&#10;SwUGAAAAAAYABgBZAQAAVAUAAAAA&#10;">
              <v:fill on="f" focussize="0,0"/>
              <v:stroke on="f"/>
              <v:imagedata o:title=""/>
              <o:lock v:ext="edit" aspectratio="f"/>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9E509"/>
    <w:multiLevelType w:val="singleLevel"/>
    <w:tmpl w:val="AE19E509"/>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5ZGIwMDY2NDAyMDY5NmM0YzcxYmZlYjkzZDI5NGIifQ=="/>
  </w:docVars>
  <w:rsids>
    <w:rsidRoot w:val="00635D7B"/>
    <w:rsid w:val="0002049D"/>
    <w:rsid w:val="0027142A"/>
    <w:rsid w:val="00635D7B"/>
    <w:rsid w:val="0069527D"/>
    <w:rsid w:val="00AC4618"/>
    <w:rsid w:val="00C2593A"/>
    <w:rsid w:val="017A39C8"/>
    <w:rsid w:val="031B3C54"/>
    <w:rsid w:val="06FA2754"/>
    <w:rsid w:val="077230BE"/>
    <w:rsid w:val="07B51F70"/>
    <w:rsid w:val="14B82E0A"/>
    <w:rsid w:val="159C006E"/>
    <w:rsid w:val="219536FC"/>
    <w:rsid w:val="25866D47"/>
    <w:rsid w:val="28440DC8"/>
    <w:rsid w:val="2DA51224"/>
    <w:rsid w:val="2F813BEB"/>
    <w:rsid w:val="300A42A2"/>
    <w:rsid w:val="36CC6212"/>
    <w:rsid w:val="37096E8C"/>
    <w:rsid w:val="418213FB"/>
    <w:rsid w:val="42D14E40"/>
    <w:rsid w:val="42F87CA4"/>
    <w:rsid w:val="4AA403C4"/>
    <w:rsid w:val="52C72983"/>
    <w:rsid w:val="52FE099F"/>
    <w:rsid w:val="53381324"/>
    <w:rsid w:val="54F47682"/>
    <w:rsid w:val="554929AB"/>
    <w:rsid w:val="57C67610"/>
    <w:rsid w:val="5D2A786A"/>
    <w:rsid w:val="64CD4228"/>
    <w:rsid w:val="69404065"/>
    <w:rsid w:val="6AE52998"/>
    <w:rsid w:val="6F0E6180"/>
    <w:rsid w:val="718F158B"/>
    <w:rsid w:val="72F81B37"/>
    <w:rsid w:val="733C6266"/>
    <w:rsid w:val="78023669"/>
    <w:rsid w:val="7D5E519B"/>
    <w:rsid w:val="7DAC6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sz w:val="22"/>
      <w:szCs w:val="22"/>
      <w:lang w:val="zh-CN" w:eastAsia="zh-CN" w:bidi="zh-CN"/>
    </w:rPr>
  </w:style>
  <w:style w:type="paragraph" w:styleId="2">
    <w:name w:val="heading 1"/>
    <w:basedOn w:val="1"/>
    <w:next w:val="1"/>
    <w:qFormat/>
    <w:uiPriority w:val="1"/>
    <w:pPr>
      <w:ind w:right="167"/>
      <w:jc w:val="center"/>
      <w:outlineLvl w:val="0"/>
    </w:pPr>
    <w:rPr>
      <w:rFonts w:ascii="方正小标宋简体" w:hAnsi="方正小标宋简体" w:eastAsia="方正小标宋简体" w:cs="方正小标宋简体"/>
      <w:sz w:val="44"/>
      <w:szCs w:val="44"/>
    </w:rPr>
  </w:style>
  <w:style w:type="paragraph" w:styleId="3">
    <w:name w:val="heading 2"/>
    <w:basedOn w:val="1"/>
    <w:next w:val="1"/>
    <w:qFormat/>
    <w:uiPriority w:val="1"/>
    <w:pPr>
      <w:spacing w:before="111"/>
      <w:ind w:left="747"/>
      <w:outlineLvl w:val="1"/>
    </w:pPr>
    <w:rPr>
      <w:rFonts w:ascii="楷体" w:hAnsi="楷体" w:eastAsia="楷体" w:cs="楷体"/>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106"/>
    </w:pPr>
    <w:rPr>
      <w:sz w:val="32"/>
      <w:szCs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06" w:right="271" w:firstLine="640"/>
      <w:jc w:val="both"/>
    </w:pPr>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1801</Words>
  <Characters>1838</Characters>
  <Lines>26</Lines>
  <Paragraphs>7</Paragraphs>
  <TotalTime>61</TotalTime>
  <ScaleCrop>false</ScaleCrop>
  <LinksUpToDate>false</LinksUpToDate>
  <CharactersWithSpaces>1875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2020-05-15T02:44:00Z</dcterms:created>
  <dc:creator>Administrator</dc:creator>
  <cp:lastModifiedBy>凌冰</cp:lastModifiedBy>
  <cp:lastPrinted>2021-02-19T02:33:00Z</cp:lastPrinted>
  <dcterms:modified xsi:type="dcterms:W3CDTF">2022-07-13T01:13:48Z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2020-04-01T00:00:00Z</vt:filetime>
  </property>
  <property fmtid="{D5CDD505-2E9C-101B-9397-08002B2CF9AE}" pid="3" name="Creator">
    <vt:lpwstr>WPS Office</vt:lpwstr>
  </property>
  <property fmtid="{D5CDD505-2E9C-101B-9397-08002B2CF9AE}" pid="4" name="LastSaved">
    <vt:filetime>2020-05-15T00:00:00Z</vt:filetime>
  </property>
  <property fmtid="{D5CDD505-2E9C-101B-9397-08002B2CF9AE}" pid="5" name="KSOProductBuildVer">
    <vt:lpwstr>2052-11.1.0.11830</vt:lpwstr>
  </property>
  <property fmtid="{D5CDD505-2E9C-101B-9397-08002B2CF9AE}" pid="6" name="ICV">
    <vt:lpwstr>99BB5E3883374108A85574E3A343563B</vt:lpwstr>
  </property>
</Properties>
</file>